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Pr="004D6EEF" w:rsidRDefault="003F0CA3" w:rsidP="00911D10">
      <w:pPr>
        <w:pStyle w:val="Encabezado"/>
        <w:jc w:val="center"/>
        <w:rPr>
          <w:b/>
        </w:rP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4EC" w:rsidRDefault="00AE64EC"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AE64EC" w:rsidRDefault="00AE64EC"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p>
    <w:p w:rsidR="004457EB" w:rsidRPr="004D6EEF" w:rsidRDefault="004D6EEF" w:rsidP="00911D10">
      <w:pPr>
        <w:spacing w:after="0" w:line="240" w:lineRule="auto"/>
        <w:jc w:val="center"/>
        <w:rPr>
          <w:rFonts w:ascii="Arial" w:hAnsi="Arial" w:cs="Arial"/>
          <w:b/>
        </w:rPr>
      </w:pPr>
      <w:r w:rsidRPr="004D6EEF">
        <w:rPr>
          <w:rFonts w:ascii="Arial" w:hAnsi="Arial" w:cs="Arial"/>
          <w:b/>
        </w:rPr>
        <w:t xml:space="preserve">TEXTO APROBADO EN LA COMISIÓN PRIMERA DE LA HONORABLE CÁMARA DE REPRESENTANTES EN PRIMER DEBATE </w:t>
      </w:r>
    </w:p>
    <w:p w:rsidR="004D6EEF" w:rsidRPr="004D6EEF" w:rsidRDefault="004D6EEF" w:rsidP="004D6EEF">
      <w:pPr>
        <w:spacing w:after="0" w:line="240" w:lineRule="auto"/>
        <w:jc w:val="center"/>
        <w:rPr>
          <w:rFonts w:ascii="Arial" w:eastAsia="Arial" w:hAnsi="Arial" w:cs="Arial"/>
          <w:b/>
        </w:rPr>
      </w:pPr>
      <w:r w:rsidRPr="004D6EEF">
        <w:rPr>
          <w:rFonts w:ascii="Arial" w:hAnsi="Arial" w:cs="Arial"/>
          <w:b/>
        </w:rPr>
        <w:t xml:space="preserve">DEL </w:t>
      </w:r>
      <w:r w:rsidRPr="004D6EEF">
        <w:rPr>
          <w:rFonts w:ascii="Arial" w:hAnsi="Arial" w:cs="Arial"/>
          <w:b/>
          <w:lang w:bidi="es-CO"/>
        </w:rPr>
        <w:t xml:space="preserve">PROYECTO DE LEY </w:t>
      </w:r>
      <w:r w:rsidRPr="004D6EEF">
        <w:rPr>
          <w:rFonts w:ascii="Arial" w:eastAsia="Arial" w:hAnsi="Arial" w:cs="Arial"/>
          <w:b/>
        </w:rPr>
        <w:t xml:space="preserve">N° 488 DE 2024 CÁMARA - 199 DE 2023 SENADO </w:t>
      </w:r>
    </w:p>
    <w:p w:rsidR="004D6EEF" w:rsidRPr="004D6EEF" w:rsidRDefault="004D6EEF" w:rsidP="004D6EEF">
      <w:pPr>
        <w:spacing w:after="0" w:line="240" w:lineRule="auto"/>
        <w:jc w:val="center"/>
        <w:rPr>
          <w:rFonts w:ascii="Arial" w:eastAsia="Arial" w:hAnsi="Arial" w:cs="Arial"/>
          <w:b/>
        </w:rPr>
      </w:pPr>
      <w:r w:rsidRPr="004D6EEF">
        <w:rPr>
          <w:rFonts w:ascii="Arial" w:eastAsia="Arial" w:hAnsi="Arial" w:cs="Arial"/>
          <w:b/>
        </w:rPr>
        <w:t>“POR MEDIO DE LA CUAL SE MODIFICAN ALGUNOS ARTÍCULOS DE LA LEY 1564 DE 2012 Y SE REGLAMENTA LA ENTREGA ANTICIPADA DE TÍTULOS EN EL PROCESO EJECUTIVO POR ALIMENTOS DEBIDOS A UN NIÑO, NIÑA Y ADOLESCENTE (LEY SARITA)”.</w:t>
      </w:r>
    </w:p>
    <w:p w:rsidR="004D6EEF" w:rsidRPr="004D6EEF" w:rsidRDefault="004D6EEF" w:rsidP="004D6EEF">
      <w:pPr>
        <w:jc w:val="center"/>
        <w:rPr>
          <w:rFonts w:ascii="Arial" w:eastAsia="Arial" w:hAnsi="Arial" w:cs="Arial"/>
          <w:b/>
        </w:rPr>
      </w:pPr>
    </w:p>
    <w:p w:rsidR="004D6EEF" w:rsidRPr="004D6EEF" w:rsidRDefault="004D6EEF" w:rsidP="004D6EEF">
      <w:pPr>
        <w:jc w:val="center"/>
        <w:rPr>
          <w:rFonts w:ascii="Arial" w:eastAsia="Arial" w:hAnsi="Arial" w:cs="Arial"/>
          <w:b/>
        </w:rPr>
      </w:pPr>
      <w:r w:rsidRPr="004D6EEF">
        <w:rPr>
          <w:rFonts w:ascii="Arial" w:eastAsia="Arial" w:hAnsi="Arial" w:cs="Arial"/>
          <w:b/>
        </w:rPr>
        <w:t>EL CONGRESO DE COLOMBIA</w:t>
      </w:r>
    </w:p>
    <w:p w:rsidR="004D6EEF" w:rsidRPr="004D6EEF" w:rsidRDefault="004D6EEF" w:rsidP="004D6EEF">
      <w:pPr>
        <w:jc w:val="center"/>
        <w:rPr>
          <w:rFonts w:ascii="Arial" w:eastAsia="Arial" w:hAnsi="Arial" w:cs="Arial"/>
          <w:b/>
        </w:rPr>
      </w:pPr>
    </w:p>
    <w:p w:rsidR="004D6EEF" w:rsidRPr="004D6EEF" w:rsidRDefault="004D6EEF" w:rsidP="004D6EEF">
      <w:pPr>
        <w:jc w:val="center"/>
        <w:rPr>
          <w:rFonts w:ascii="Arial" w:eastAsia="Arial" w:hAnsi="Arial" w:cs="Arial"/>
          <w:b/>
        </w:rPr>
      </w:pPr>
      <w:r w:rsidRPr="004D6EEF">
        <w:rPr>
          <w:rFonts w:ascii="Arial" w:eastAsia="Arial" w:hAnsi="Arial" w:cs="Arial"/>
          <w:b/>
        </w:rPr>
        <w:t>DECRETA:</w:t>
      </w:r>
    </w:p>
    <w:p w:rsidR="004D6EEF" w:rsidRPr="004D6EEF" w:rsidRDefault="004D6EEF" w:rsidP="004D6EEF">
      <w:pPr>
        <w:jc w:val="both"/>
        <w:rPr>
          <w:rFonts w:ascii="Arial" w:eastAsia="Arial" w:hAnsi="Arial" w:cs="Arial"/>
          <w:i/>
        </w:rPr>
      </w:pPr>
    </w:p>
    <w:p w:rsidR="004D6EEF" w:rsidRPr="004D6EEF" w:rsidRDefault="004D6EEF" w:rsidP="004D6EEF">
      <w:pPr>
        <w:jc w:val="both"/>
        <w:rPr>
          <w:rFonts w:ascii="Arial" w:eastAsia="Arial" w:hAnsi="Arial" w:cs="Arial"/>
        </w:rPr>
      </w:pPr>
      <w:r w:rsidRPr="004D6EEF">
        <w:rPr>
          <w:rFonts w:ascii="Arial" w:eastAsia="Arial" w:hAnsi="Arial" w:cs="Arial"/>
          <w:b/>
        </w:rPr>
        <w:t>Artículo 1º. Objeto.</w:t>
      </w:r>
      <w:r w:rsidRPr="004D6EEF">
        <w:rPr>
          <w:rFonts w:ascii="Arial" w:eastAsia="Arial" w:hAnsi="Arial" w:cs="Arial"/>
        </w:rPr>
        <w:t xml:space="preserve">  Considerando el interés superior de los niños, niñas y adolescentes, la presente ley tiene por objeto modificar los artículos 397 y 447 del Código General del Proceso y adicionar un artículo nuevo, con el fin de garantizar el acceso oportuno a los recursos económicos que son objeto de embargo dentro de los procesos ejecutivos de alimentos a favor de niños, niñas y adolescentes, mediante la creación de la figura de entrega anticipada de títulos.</w:t>
      </w:r>
    </w:p>
    <w:p w:rsidR="004D6EEF" w:rsidRPr="004D6EEF" w:rsidRDefault="004D6EEF" w:rsidP="004D6EEF">
      <w:pPr>
        <w:jc w:val="both"/>
        <w:rPr>
          <w:rFonts w:ascii="Arial" w:eastAsia="Arial" w:hAnsi="Arial" w:cs="Arial"/>
        </w:rPr>
      </w:pPr>
    </w:p>
    <w:p w:rsidR="004D6EEF" w:rsidRPr="004D6EEF" w:rsidRDefault="004D6EEF" w:rsidP="004D6EEF">
      <w:pPr>
        <w:jc w:val="both"/>
        <w:rPr>
          <w:rFonts w:ascii="Arial" w:eastAsia="Arial" w:hAnsi="Arial" w:cs="Arial"/>
        </w:rPr>
      </w:pPr>
      <w:r w:rsidRPr="004D6EEF">
        <w:rPr>
          <w:rFonts w:ascii="Arial" w:eastAsia="Arial" w:hAnsi="Arial" w:cs="Arial"/>
          <w:b/>
        </w:rPr>
        <w:t xml:space="preserve">Artículo 2º. </w:t>
      </w:r>
      <w:r w:rsidRPr="004D6EEF">
        <w:rPr>
          <w:rFonts w:ascii="Arial" w:eastAsia="Arial" w:hAnsi="Arial" w:cs="Arial"/>
        </w:rPr>
        <w:t xml:space="preserve">Elimínese el parágrafo 2° del artículo 397 del Código General del Proceso, Ley 1564 de 2012, el cual quedará así: </w:t>
      </w:r>
    </w:p>
    <w:p w:rsidR="004D6EEF" w:rsidRPr="004D6EEF" w:rsidRDefault="004D6EEF" w:rsidP="004D6EEF">
      <w:pPr>
        <w:jc w:val="both"/>
        <w:rPr>
          <w:rFonts w:ascii="Arial" w:eastAsia="Arial" w:hAnsi="Arial" w:cs="Arial"/>
        </w:rPr>
      </w:pPr>
      <w:r>
        <w:rPr>
          <w:rFonts w:ascii="Arial" w:eastAsia="Arial" w:hAnsi="Arial" w:cs="Arial"/>
          <w:b/>
        </w:rPr>
        <w:t>Artículo</w:t>
      </w:r>
      <w:r w:rsidRPr="004D6EEF">
        <w:rPr>
          <w:rFonts w:ascii="Arial" w:eastAsia="Arial" w:hAnsi="Arial" w:cs="Arial"/>
          <w:b/>
        </w:rPr>
        <w:t xml:space="preserve"> 397. ALIMENTOS A FAVOR DEL MAYOR DE EDAD.</w:t>
      </w:r>
      <w:r w:rsidRPr="004D6EEF">
        <w:rPr>
          <w:rFonts w:ascii="Arial" w:eastAsia="Arial" w:hAnsi="Arial" w:cs="Arial"/>
        </w:rPr>
        <w:t xml:space="preserve"> En los procesos de alimentos se seguirán las siguientes reglas: </w:t>
      </w:r>
    </w:p>
    <w:p w:rsidR="004D6EEF" w:rsidRPr="004D6EEF" w:rsidRDefault="004D6EEF" w:rsidP="004D6EEF">
      <w:pPr>
        <w:jc w:val="both"/>
        <w:rPr>
          <w:rFonts w:ascii="Arial" w:eastAsia="Arial" w:hAnsi="Arial" w:cs="Arial"/>
        </w:rPr>
      </w:pPr>
      <w:r w:rsidRPr="004D6EEF">
        <w:rPr>
          <w:rFonts w:ascii="Arial" w:eastAsia="Arial" w:hAnsi="Arial" w:cs="Arial"/>
        </w:rPr>
        <w:t xml:space="preserve">1. Desde la presentación de la demanda el juez ordenará que se den alimentos provisionales siempre que el demandante acompañe prueba siquiera sumaria de la capacidad económica de demandado. Para la fijación de alimentos provisionales por un valor superior a un salario mínimo legal mensual vigente (1 </w:t>
      </w:r>
      <w:proofErr w:type="spellStart"/>
      <w:r w:rsidRPr="004D6EEF">
        <w:rPr>
          <w:rFonts w:ascii="Arial" w:eastAsia="Arial" w:hAnsi="Arial" w:cs="Arial"/>
        </w:rPr>
        <w:t>smlmv</w:t>
      </w:r>
      <w:proofErr w:type="spellEnd"/>
      <w:r w:rsidRPr="004D6EEF">
        <w:rPr>
          <w:rFonts w:ascii="Arial" w:eastAsia="Arial" w:hAnsi="Arial" w:cs="Arial"/>
        </w:rPr>
        <w:t xml:space="preserve">), también deberá estar acreditada la cuantía de las necesidades del alimentario. </w:t>
      </w:r>
    </w:p>
    <w:p w:rsidR="004D6EEF" w:rsidRPr="004D6EEF" w:rsidRDefault="004D6EEF" w:rsidP="004D6EEF">
      <w:pPr>
        <w:jc w:val="both"/>
        <w:rPr>
          <w:rFonts w:ascii="Arial" w:eastAsia="Arial" w:hAnsi="Arial" w:cs="Arial"/>
        </w:rPr>
      </w:pPr>
      <w:r w:rsidRPr="004D6EEF">
        <w:rPr>
          <w:rFonts w:ascii="Arial" w:eastAsia="Arial" w:hAnsi="Arial" w:cs="Arial"/>
        </w:rPr>
        <w:t>2. El cobro de los alimentos provisionales se adelantará en el mismo expediente. De promoverse proceso ejecutivo, no será admisible la intervención de terceros acreedores.</w:t>
      </w:r>
    </w:p>
    <w:p w:rsidR="004D6EEF" w:rsidRPr="004D6EEF" w:rsidRDefault="004D6EEF" w:rsidP="004D6EEF">
      <w:pPr>
        <w:jc w:val="both"/>
        <w:rPr>
          <w:rFonts w:ascii="Arial" w:eastAsia="Arial" w:hAnsi="Arial" w:cs="Arial"/>
        </w:rPr>
      </w:pPr>
      <w:r w:rsidRPr="004D6EEF">
        <w:rPr>
          <w:rFonts w:ascii="Arial" w:eastAsia="Arial" w:hAnsi="Arial" w:cs="Arial"/>
        </w:rPr>
        <w:t xml:space="preserve">3. El juez, aún de oficio, decretará las pruebas necesarias para establecer la capacidad económica del demandado y las necesidades del demandante, si las partes no las hubieren aportado. </w:t>
      </w:r>
    </w:p>
    <w:p w:rsidR="004D6EEF" w:rsidRPr="004D6EEF" w:rsidRDefault="004D6EEF" w:rsidP="004D6EEF">
      <w:pPr>
        <w:jc w:val="both"/>
        <w:rPr>
          <w:rFonts w:ascii="Arial" w:eastAsia="Arial" w:hAnsi="Arial" w:cs="Arial"/>
        </w:rPr>
      </w:pPr>
      <w:r w:rsidRPr="004D6EEF">
        <w:rPr>
          <w:rFonts w:ascii="Arial" w:eastAsia="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Ejecutoriada la sentencia, el demandado podrá obtener el levantamiento de las medidas cautelares que hubieren sido </w:t>
      </w:r>
      <w:r w:rsidRPr="004D6EEF">
        <w:rPr>
          <w:rFonts w:ascii="Arial" w:eastAsia="Arial" w:hAnsi="Arial" w:cs="Arial"/>
        </w:rPr>
        <w:lastRenderedPageBreak/>
        <w:t xml:space="preserve">practicadas, si presta garantía suficiente, del pago de alimentos por los próximos dos (2) años. </w:t>
      </w:r>
    </w:p>
    <w:p w:rsidR="004D6EEF" w:rsidRPr="004D6EEF" w:rsidRDefault="004D6EEF" w:rsidP="004D6EEF">
      <w:pPr>
        <w:jc w:val="both"/>
        <w:rPr>
          <w:rFonts w:ascii="Arial" w:eastAsia="Arial" w:hAnsi="Arial" w:cs="Arial"/>
        </w:rPr>
      </w:pPr>
      <w:r w:rsidRPr="004D6EEF">
        <w:rPr>
          <w:rFonts w:ascii="Arial" w:eastAsia="Arial" w:hAnsi="Arial" w:cs="Arial"/>
        </w:rPr>
        <w:t xml:space="preserve">5. En las ejecuciones de que trata este artículo solo podrá proponerse la excepción de cumplimiento de la obligación. </w:t>
      </w:r>
    </w:p>
    <w:p w:rsidR="004D6EEF" w:rsidRPr="004D6EEF" w:rsidRDefault="004D6EEF" w:rsidP="004D6EEF">
      <w:pPr>
        <w:jc w:val="both"/>
        <w:rPr>
          <w:rFonts w:ascii="Arial" w:eastAsia="Arial" w:hAnsi="Arial" w:cs="Arial"/>
        </w:rPr>
      </w:pPr>
      <w:r w:rsidRPr="004D6EEF">
        <w:rPr>
          <w:rFonts w:ascii="Arial" w:eastAsia="Arial" w:hAnsi="Arial" w:cs="Arial"/>
        </w:rPr>
        <w:t>6. Las peticiones de incremento, disminución y exoneración de alimentos se tramitarán ante el mismo juez y en el mismo expediente y se decidirán en audiencia, previa citación a la parte contraria:</w:t>
      </w:r>
    </w:p>
    <w:p w:rsidR="004D6EEF" w:rsidRPr="004D6EEF" w:rsidRDefault="004D6EEF" w:rsidP="004D6EEF">
      <w:pPr>
        <w:jc w:val="both"/>
        <w:rPr>
          <w:rFonts w:ascii="Arial" w:eastAsia="Arial" w:hAnsi="Arial" w:cs="Arial"/>
        </w:rPr>
      </w:pPr>
      <w:r w:rsidRPr="004D6EEF">
        <w:rPr>
          <w:rFonts w:ascii="Arial" w:eastAsia="Arial" w:hAnsi="Arial" w:cs="Arial"/>
          <w:b/>
        </w:rPr>
        <w:t>Parágrafo 1°.</w:t>
      </w:r>
      <w:r w:rsidRPr="004D6EEF">
        <w:rPr>
          <w:rFonts w:ascii="Arial" w:eastAsia="Arial" w:hAnsi="Arial" w:cs="Arial"/>
        </w:rPr>
        <w:t xml:space="preserve"> Cuando el demandante ofrezca pagar alimentos y solicite su fijación se aplicará, en lo pertinente, lo dispuesto en este artículo.</w:t>
      </w:r>
    </w:p>
    <w:p w:rsidR="004D6EEF" w:rsidRPr="004D6EEF" w:rsidRDefault="004D6EEF" w:rsidP="004D6EEF">
      <w:pPr>
        <w:jc w:val="both"/>
        <w:rPr>
          <w:rFonts w:ascii="Arial" w:eastAsia="Arial" w:hAnsi="Arial" w:cs="Arial"/>
        </w:rPr>
      </w:pPr>
    </w:p>
    <w:p w:rsidR="004D6EEF" w:rsidRPr="004D6EEF" w:rsidRDefault="004D6EEF" w:rsidP="004D6EEF">
      <w:pPr>
        <w:jc w:val="both"/>
        <w:rPr>
          <w:rFonts w:ascii="Arial" w:eastAsia="Arial" w:hAnsi="Arial" w:cs="Arial"/>
        </w:rPr>
      </w:pPr>
      <w:r w:rsidRPr="004D6EEF">
        <w:rPr>
          <w:rFonts w:ascii="Arial" w:eastAsia="Arial" w:hAnsi="Arial" w:cs="Arial"/>
          <w:b/>
        </w:rPr>
        <w:t>Artículo 3º.</w:t>
      </w:r>
      <w:r w:rsidRPr="004D6EEF">
        <w:rPr>
          <w:rFonts w:ascii="Arial" w:eastAsia="Arial" w:hAnsi="Arial" w:cs="Arial"/>
        </w:rPr>
        <w:t xml:space="preserve"> Adiciónese un artículo 397A, a Ley 1564 de 2012, el cual quedará así: </w:t>
      </w:r>
    </w:p>
    <w:p w:rsidR="004D6EEF" w:rsidRPr="004D6EEF" w:rsidRDefault="004D6EEF" w:rsidP="004D6EEF">
      <w:pPr>
        <w:jc w:val="both"/>
        <w:rPr>
          <w:rFonts w:ascii="Arial" w:eastAsia="Arial" w:hAnsi="Arial" w:cs="Arial"/>
        </w:rPr>
      </w:pPr>
      <w:r w:rsidRPr="004D6EEF">
        <w:rPr>
          <w:rFonts w:ascii="Arial" w:eastAsia="Arial" w:hAnsi="Arial" w:cs="Arial"/>
          <w:b/>
        </w:rPr>
        <w:t>Artículo 397A. ALIMENTOS A FAVOR DE MENORES DE EDAD.</w:t>
      </w:r>
      <w:r w:rsidRPr="004D6EEF">
        <w:rPr>
          <w:rFonts w:ascii="Arial" w:eastAsia="Arial" w:hAnsi="Arial" w:cs="Arial"/>
        </w:rPr>
        <w:t xml:space="preserve"> En los procesos de alimentos a niños, niñas y adolescentes se seguirán las siguientes reglas. </w:t>
      </w:r>
    </w:p>
    <w:p w:rsidR="004D6EEF" w:rsidRPr="004D6EEF" w:rsidRDefault="004D6EEF" w:rsidP="004D6EEF">
      <w:pPr>
        <w:jc w:val="both"/>
        <w:rPr>
          <w:rFonts w:ascii="Arial" w:eastAsia="Arial" w:hAnsi="Arial" w:cs="Arial"/>
        </w:rPr>
      </w:pPr>
      <w:r w:rsidRPr="004D6EEF">
        <w:rPr>
          <w:rFonts w:ascii="Arial" w:eastAsia="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rsidR="004D6EEF" w:rsidRPr="004D6EEF" w:rsidRDefault="004D6EEF" w:rsidP="004D6EEF">
      <w:pPr>
        <w:jc w:val="both"/>
        <w:rPr>
          <w:rFonts w:ascii="Arial" w:eastAsia="Arial" w:hAnsi="Arial" w:cs="Arial"/>
        </w:rPr>
      </w:pPr>
      <w:r w:rsidRPr="004D6EEF">
        <w:rPr>
          <w:rFonts w:ascii="Arial" w:eastAsia="Arial" w:hAnsi="Arial" w:cs="Arial"/>
        </w:rPr>
        <w:t>b. En lo pertinente, en materia de alimentos para menores, se aplicará la Ley 1098 de 2006 y las normas que la modifican o la complementan.</w:t>
      </w:r>
    </w:p>
    <w:p w:rsidR="004D6EEF" w:rsidRPr="004D6EEF" w:rsidRDefault="004D6EEF" w:rsidP="004D6EEF">
      <w:pPr>
        <w:jc w:val="both"/>
        <w:rPr>
          <w:rFonts w:ascii="Arial" w:eastAsia="Arial" w:hAnsi="Arial" w:cs="Arial"/>
        </w:rPr>
      </w:pPr>
      <w:r w:rsidRPr="004D6EEF">
        <w:rPr>
          <w:rFonts w:ascii="Arial" w:eastAsia="Arial" w:hAnsi="Arial" w:cs="Arial"/>
        </w:rPr>
        <w:t>c. Cuando no exista oposición por parte del demandado en procesos en los cuales la obligación es un título ejecutivo en materia de alimentos, a favor de un niño, niña o adolescente, con ocasión del incumplimiento previo, parcial o total del acuerdo, el juez ordenará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p w:rsidR="004D6EEF" w:rsidRPr="004D6EEF" w:rsidRDefault="004D6EEF" w:rsidP="004D6EEF">
      <w:pPr>
        <w:jc w:val="both"/>
        <w:rPr>
          <w:rFonts w:ascii="Arial" w:eastAsia="Arial" w:hAnsi="Arial" w:cs="Arial"/>
        </w:rPr>
      </w:pPr>
    </w:p>
    <w:p w:rsidR="004D6EEF" w:rsidRPr="004D6EEF" w:rsidRDefault="004D6EEF" w:rsidP="004D6EEF">
      <w:pPr>
        <w:jc w:val="both"/>
        <w:rPr>
          <w:rFonts w:ascii="Arial" w:eastAsia="Arial" w:hAnsi="Arial" w:cs="Arial"/>
        </w:rPr>
      </w:pPr>
      <w:r>
        <w:rPr>
          <w:rFonts w:ascii="Arial" w:eastAsia="Arial" w:hAnsi="Arial" w:cs="Arial"/>
          <w:b/>
        </w:rPr>
        <w:t>Artículo</w:t>
      </w:r>
      <w:r w:rsidRPr="004D6EEF">
        <w:rPr>
          <w:rFonts w:ascii="Arial" w:eastAsia="Arial" w:hAnsi="Arial" w:cs="Arial"/>
          <w:b/>
        </w:rPr>
        <w:t xml:space="preserve"> 4º.</w:t>
      </w:r>
      <w:r w:rsidRPr="004D6EEF">
        <w:rPr>
          <w:rFonts w:ascii="Arial" w:eastAsia="Arial" w:hAnsi="Arial" w:cs="Arial"/>
        </w:rPr>
        <w:t xml:space="preserve"> Adiciónese un parágrafo al artículo 447 del Código General del Proceso, Ley 1564 de 2012, el cual quedará así:</w:t>
      </w:r>
    </w:p>
    <w:p w:rsidR="004D6EEF" w:rsidRPr="004D6EEF" w:rsidRDefault="004D6EEF" w:rsidP="004D6EEF">
      <w:pPr>
        <w:jc w:val="both"/>
        <w:rPr>
          <w:rFonts w:ascii="Arial" w:eastAsia="Arial" w:hAnsi="Arial" w:cs="Arial"/>
        </w:rPr>
      </w:pPr>
      <w:r w:rsidRPr="004D6EEF">
        <w:rPr>
          <w:rFonts w:ascii="Arial" w:eastAsia="Arial" w:hAnsi="Arial" w:cs="Arial"/>
          <w:b/>
        </w:rPr>
        <w:t>PARÁGRAFO.</w:t>
      </w:r>
      <w:r w:rsidRPr="004D6EEF">
        <w:rPr>
          <w:rFonts w:ascii="Arial" w:eastAsia="Arial" w:hAnsi="Arial" w:cs="Arial"/>
        </w:rPr>
        <w:t xml:space="preserve"> En los procesos ejecutivos en materia de alimentos debidos a niños, niñas y adolescentes, estando en firme el auto que libra mandamiento de pago sobre el título ejecutivo, de no haber oposición del ejecutado frente a la anterior providencia, el juez ordenará la entrega anticipada de títulos al demandante, por el valor de la cuota periódica actual derivada del título ejecutivo, de manera sucesiva y permanente hasta el monto total de la obligación, o en su defecto, del monto total embargado, en tanto se emite providencia definitiva dentro del proceso.</w:t>
      </w:r>
    </w:p>
    <w:p w:rsidR="004D6EEF" w:rsidRDefault="004D6EEF" w:rsidP="004D6EEF">
      <w:pPr>
        <w:jc w:val="both"/>
        <w:rPr>
          <w:rFonts w:ascii="Arial" w:eastAsia="Arial" w:hAnsi="Arial" w:cs="Arial"/>
        </w:rPr>
      </w:pPr>
    </w:p>
    <w:p w:rsidR="002F2A14" w:rsidRDefault="002F2A14" w:rsidP="004D6EEF">
      <w:pPr>
        <w:jc w:val="both"/>
        <w:rPr>
          <w:rFonts w:ascii="Arial" w:eastAsia="Arial" w:hAnsi="Arial" w:cs="Arial"/>
        </w:rPr>
      </w:pPr>
    </w:p>
    <w:p w:rsidR="002F2A14" w:rsidRDefault="002F2A14" w:rsidP="004D6EEF">
      <w:pPr>
        <w:jc w:val="both"/>
        <w:rPr>
          <w:rFonts w:ascii="Arial" w:eastAsia="Arial" w:hAnsi="Arial" w:cs="Arial"/>
        </w:rPr>
      </w:pPr>
      <w:bookmarkStart w:id="0" w:name="_GoBack"/>
      <w:bookmarkEnd w:id="0"/>
    </w:p>
    <w:p w:rsidR="004D6EEF" w:rsidRPr="004D6EEF" w:rsidRDefault="002F2A14" w:rsidP="004D6EEF">
      <w:pPr>
        <w:jc w:val="both"/>
        <w:rPr>
          <w:rFonts w:ascii="Arial" w:eastAsia="Arial" w:hAnsi="Arial" w:cs="Arial"/>
        </w:rPr>
      </w:pPr>
      <w:r>
        <w:rPr>
          <w:rFonts w:ascii="Arial" w:eastAsia="Arial" w:hAnsi="Arial" w:cs="Arial"/>
        </w:rPr>
        <w:t>P</w:t>
      </w:r>
      <w:r w:rsidR="004D6EEF" w:rsidRPr="004D6EEF">
        <w:rPr>
          <w:rFonts w:ascii="Arial" w:eastAsia="Arial" w:hAnsi="Arial" w:cs="Arial"/>
        </w:rPr>
        <w:t>ara garantizar el cumplimiento efectivo y oportuno de esta disposición, se implementarán las siguientes medidas:</w:t>
      </w:r>
    </w:p>
    <w:p w:rsidR="004D6EEF" w:rsidRPr="004D6EEF" w:rsidRDefault="004D6EEF" w:rsidP="004D6EEF">
      <w:pPr>
        <w:widowControl w:val="0"/>
        <w:numPr>
          <w:ilvl w:val="0"/>
          <w:numId w:val="43"/>
        </w:numPr>
        <w:pBdr>
          <w:top w:val="nil"/>
          <w:left w:val="nil"/>
          <w:bottom w:val="nil"/>
          <w:right w:val="nil"/>
          <w:between w:val="nil"/>
        </w:pBdr>
        <w:spacing w:after="0" w:line="240" w:lineRule="auto"/>
        <w:jc w:val="both"/>
        <w:rPr>
          <w:rFonts w:ascii="Arial" w:eastAsia="Arial" w:hAnsi="Arial" w:cs="Arial"/>
          <w:color w:val="000000"/>
        </w:rPr>
      </w:pPr>
      <w:r w:rsidRPr="004D6EEF">
        <w:rPr>
          <w:rFonts w:ascii="Arial" w:eastAsia="Arial" w:hAnsi="Arial" w:cs="Arial"/>
          <w:color w:val="000000"/>
        </w:rPr>
        <w:t xml:space="preserve"> La autoridad disciplinaria competente por petición del defensor de familia investigará a los funcionarios judiciales que retrasen injustificadamente el proceso de entrega anticipada de títulos. </w:t>
      </w:r>
    </w:p>
    <w:p w:rsidR="004D6EEF" w:rsidRPr="004D6EEF" w:rsidRDefault="004D6EEF" w:rsidP="004D6EEF">
      <w:pPr>
        <w:widowControl w:val="0"/>
        <w:numPr>
          <w:ilvl w:val="0"/>
          <w:numId w:val="43"/>
        </w:numPr>
        <w:pBdr>
          <w:top w:val="nil"/>
          <w:left w:val="nil"/>
          <w:bottom w:val="nil"/>
          <w:right w:val="nil"/>
          <w:between w:val="nil"/>
        </w:pBdr>
        <w:spacing w:after="0" w:line="240" w:lineRule="auto"/>
        <w:jc w:val="both"/>
        <w:rPr>
          <w:rFonts w:ascii="Arial" w:eastAsia="Arial" w:hAnsi="Arial" w:cs="Arial"/>
          <w:color w:val="000000"/>
        </w:rPr>
      </w:pPr>
      <w:r w:rsidRPr="004D6EEF">
        <w:rPr>
          <w:rFonts w:ascii="Arial" w:eastAsia="Arial" w:hAnsi="Arial" w:cs="Arial"/>
          <w:color w:val="000000"/>
        </w:rPr>
        <w:t>Los jueces deberán publicar informes semestrales, en el estado electrónico del despacho, sobre el estado y cumplimiento de esta disposición en los procesos ejecutivos por alimentos.</w:t>
      </w:r>
    </w:p>
    <w:p w:rsidR="004D6EEF" w:rsidRPr="004D6EEF" w:rsidRDefault="004D6EEF" w:rsidP="004D6EEF">
      <w:pPr>
        <w:rPr>
          <w:rFonts w:ascii="Arial" w:eastAsia="Arial" w:hAnsi="Arial" w:cs="Arial"/>
        </w:rPr>
      </w:pPr>
    </w:p>
    <w:p w:rsidR="004D6EEF" w:rsidRPr="004D6EEF" w:rsidRDefault="004D6EEF" w:rsidP="004D6EEF">
      <w:pPr>
        <w:rPr>
          <w:rFonts w:ascii="Arial" w:eastAsia="Arial" w:hAnsi="Arial" w:cs="Arial"/>
        </w:rPr>
      </w:pPr>
      <w:r w:rsidRPr="004D6EEF">
        <w:rPr>
          <w:rFonts w:ascii="Arial" w:eastAsia="Arial" w:hAnsi="Arial" w:cs="Arial"/>
          <w:b/>
        </w:rPr>
        <w:t>Artículo 5º. Vigencia y derogatorias.</w:t>
      </w:r>
      <w:r w:rsidRPr="004D6EEF">
        <w:rPr>
          <w:rFonts w:ascii="Arial" w:eastAsia="Arial" w:hAnsi="Arial" w:cs="Arial"/>
        </w:rPr>
        <w:t xml:space="preserve"> La presente ley rige a partir de la fecha de su publicación en el Diario Oficial y deroga las disposiciones que le sean contrarias.</w:t>
      </w:r>
    </w:p>
    <w:p w:rsidR="004D6EEF" w:rsidRPr="004D6EEF" w:rsidRDefault="004D6EEF" w:rsidP="004D6EEF">
      <w:pPr>
        <w:jc w:val="both"/>
        <w:rPr>
          <w:rFonts w:ascii="Arial" w:eastAsia="Arial" w:hAnsi="Arial" w:cs="Arial"/>
        </w:rPr>
      </w:pPr>
    </w:p>
    <w:p w:rsidR="004C0D31" w:rsidRPr="004D6EEF" w:rsidRDefault="004C0D31" w:rsidP="004C0D31">
      <w:pPr>
        <w:spacing w:after="0" w:line="240" w:lineRule="auto"/>
        <w:jc w:val="center"/>
        <w:rPr>
          <w:rFonts w:ascii="Arial" w:eastAsia="Arial" w:hAnsi="Arial" w:cs="Arial"/>
          <w:b/>
        </w:rPr>
      </w:pPr>
    </w:p>
    <w:p w:rsidR="004C0D31" w:rsidRPr="004D6EEF" w:rsidRDefault="004C0D31" w:rsidP="004C0D31">
      <w:pPr>
        <w:spacing w:after="0" w:line="240" w:lineRule="auto"/>
        <w:jc w:val="center"/>
        <w:rPr>
          <w:rFonts w:ascii="Arial" w:eastAsia="Arial" w:hAnsi="Arial" w:cs="Arial"/>
          <w:b/>
        </w:rPr>
      </w:pPr>
    </w:p>
    <w:p w:rsidR="00974356" w:rsidRPr="004D6EEF" w:rsidRDefault="00974356" w:rsidP="00974356">
      <w:pPr>
        <w:spacing w:after="0" w:line="240" w:lineRule="auto"/>
        <w:jc w:val="center"/>
        <w:rPr>
          <w:rFonts w:ascii="Arial" w:eastAsia="Arial" w:hAnsi="Arial" w:cs="Arial"/>
          <w:b/>
        </w:rPr>
      </w:pPr>
    </w:p>
    <w:p w:rsidR="00974356" w:rsidRPr="004D6EEF" w:rsidRDefault="00974356" w:rsidP="00974356">
      <w:pPr>
        <w:tabs>
          <w:tab w:val="left" w:pos="4820"/>
        </w:tabs>
        <w:spacing w:after="0" w:line="276" w:lineRule="auto"/>
        <w:jc w:val="both"/>
        <w:rPr>
          <w:rFonts w:ascii="Arial" w:eastAsia="Century Gothic" w:hAnsi="Arial" w:cs="Arial"/>
          <w:highlight w:val="white"/>
        </w:rPr>
      </w:pPr>
      <w:r w:rsidRPr="004D6EEF">
        <w:rPr>
          <w:rFonts w:ascii="Arial" w:eastAsia="Century Gothic" w:hAnsi="Arial" w:cs="Arial"/>
          <w:highlight w:val="white"/>
        </w:rPr>
        <w:t>En los ant</w:t>
      </w:r>
      <w:r w:rsidR="004D6EEF">
        <w:rPr>
          <w:rFonts w:ascii="Arial" w:eastAsia="Century Gothic" w:hAnsi="Arial" w:cs="Arial"/>
          <w:highlight w:val="white"/>
        </w:rPr>
        <w:t>eriores términos fue aprobado si</w:t>
      </w:r>
      <w:r w:rsidRPr="004D6EEF">
        <w:rPr>
          <w:rFonts w:ascii="Arial" w:eastAsia="Century Gothic" w:hAnsi="Arial" w:cs="Arial"/>
          <w:highlight w:val="white"/>
        </w:rPr>
        <w:t xml:space="preserve">n modificaciones en primer debate el presente Proyecto de </w:t>
      </w:r>
      <w:r w:rsidR="005A22D8" w:rsidRPr="004D6EEF">
        <w:rPr>
          <w:rFonts w:ascii="Arial" w:eastAsia="Century Gothic" w:hAnsi="Arial" w:cs="Arial"/>
          <w:highlight w:val="white"/>
        </w:rPr>
        <w:t>Ley, según consta en Acta No. 55</w:t>
      </w:r>
      <w:r w:rsidR="007C57E2" w:rsidRPr="004D6EEF">
        <w:rPr>
          <w:rFonts w:ascii="Arial" w:eastAsia="Century Gothic" w:hAnsi="Arial" w:cs="Arial"/>
          <w:highlight w:val="white"/>
        </w:rPr>
        <w:t xml:space="preserve"> de sesión del </w:t>
      </w:r>
      <w:r w:rsidR="005A22D8" w:rsidRPr="004D6EEF">
        <w:rPr>
          <w:rFonts w:ascii="Arial" w:eastAsia="Century Gothic" w:hAnsi="Arial" w:cs="Arial"/>
          <w:highlight w:val="white"/>
        </w:rPr>
        <w:t>11</w:t>
      </w:r>
      <w:r w:rsidRPr="004D6EEF">
        <w:rPr>
          <w:rFonts w:ascii="Arial" w:eastAsia="Century Gothic" w:hAnsi="Arial" w:cs="Arial"/>
          <w:highlight w:val="white"/>
        </w:rPr>
        <w:t xml:space="preserve"> de </w:t>
      </w:r>
      <w:r w:rsidR="005A22D8" w:rsidRPr="004D6EEF">
        <w:rPr>
          <w:rFonts w:ascii="Arial" w:eastAsia="Century Gothic" w:hAnsi="Arial" w:cs="Arial"/>
          <w:highlight w:val="white"/>
        </w:rPr>
        <w:t>junio</w:t>
      </w:r>
      <w:r w:rsidRPr="004D6EEF">
        <w:rPr>
          <w:rFonts w:ascii="Arial" w:eastAsia="Century Gothic" w:hAnsi="Arial" w:cs="Arial"/>
          <w:highlight w:val="white"/>
        </w:rPr>
        <w:t xml:space="preserve"> de 2025. Así mismo fue anuncia</w:t>
      </w:r>
      <w:r w:rsidR="007C57E2" w:rsidRPr="004D6EEF">
        <w:rPr>
          <w:rFonts w:ascii="Arial" w:eastAsia="Century Gothic" w:hAnsi="Arial" w:cs="Arial"/>
          <w:highlight w:val="white"/>
        </w:rPr>
        <w:t>do entr</w:t>
      </w:r>
      <w:r w:rsidR="005A22D8" w:rsidRPr="004D6EEF">
        <w:rPr>
          <w:rFonts w:ascii="Arial" w:eastAsia="Century Gothic" w:hAnsi="Arial" w:cs="Arial"/>
          <w:highlight w:val="white"/>
        </w:rPr>
        <w:t>e otras fechas, el día 10</w:t>
      </w:r>
      <w:r w:rsidRPr="004D6EEF">
        <w:rPr>
          <w:rFonts w:ascii="Arial" w:eastAsia="Century Gothic" w:hAnsi="Arial" w:cs="Arial"/>
          <w:highlight w:val="white"/>
        </w:rPr>
        <w:t xml:space="preserve"> de </w:t>
      </w:r>
      <w:r w:rsidR="005A22D8" w:rsidRPr="004D6EEF">
        <w:rPr>
          <w:rFonts w:ascii="Arial" w:eastAsia="Century Gothic" w:hAnsi="Arial" w:cs="Arial"/>
          <w:highlight w:val="white"/>
        </w:rPr>
        <w:t>junio</w:t>
      </w:r>
      <w:r w:rsidRPr="004D6EEF">
        <w:rPr>
          <w:rFonts w:ascii="Arial" w:eastAsia="Century Gothic" w:hAnsi="Arial" w:cs="Arial"/>
          <w:highlight w:val="white"/>
        </w:rPr>
        <w:t xml:space="preserve"> de 2025</w:t>
      </w:r>
      <w:r w:rsidR="007C57E2" w:rsidRPr="004D6EEF">
        <w:rPr>
          <w:rFonts w:ascii="Arial" w:eastAsia="Century Gothic" w:hAnsi="Arial" w:cs="Arial"/>
          <w:highlight w:val="white"/>
        </w:rPr>
        <w:t xml:space="preserve">, según consta en el Acta No. </w:t>
      </w:r>
      <w:r w:rsidR="005A22D8" w:rsidRPr="004D6EEF">
        <w:rPr>
          <w:rFonts w:ascii="Arial" w:eastAsia="Century Gothic" w:hAnsi="Arial" w:cs="Arial"/>
          <w:highlight w:val="white"/>
        </w:rPr>
        <w:t>54</w:t>
      </w:r>
      <w:r w:rsidRPr="004D6EEF">
        <w:rPr>
          <w:rFonts w:ascii="Arial" w:eastAsia="Century Gothic" w:hAnsi="Arial" w:cs="Arial"/>
          <w:highlight w:val="white"/>
        </w:rPr>
        <w:t xml:space="preserve"> de sesión de esa misma fecha.</w:t>
      </w:r>
    </w:p>
    <w:p w:rsidR="00974356" w:rsidRPr="004D6EEF" w:rsidRDefault="00974356" w:rsidP="00BB4B50">
      <w:pPr>
        <w:tabs>
          <w:tab w:val="left" w:pos="4820"/>
        </w:tabs>
        <w:spacing w:after="0" w:line="276" w:lineRule="auto"/>
        <w:jc w:val="both"/>
        <w:rPr>
          <w:rFonts w:ascii="Arial" w:eastAsia="Century Gothic" w:hAnsi="Arial" w:cs="Arial"/>
          <w:highlight w:val="white"/>
        </w:rPr>
      </w:pPr>
    </w:p>
    <w:p w:rsidR="00974356" w:rsidRPr="004D6EEF" w:rsidRDefault="00974356" w:rsidP="00BB4B50">
      <w:pPr>
        <w:tabs>
          <w:tab w:val="left" w:pos="4820"/>
        </w:tabs>
        <w:spacing w:after="0" w:line="276" w:lineRule="auto"/>
        <w:jc w:val="both"/>
        <w:rPr>
          <w:rFonts w:ascii="Arial" w:eastAsia="Century Gothic" w:hAnsi="Arial" w:cs="Arial"/>
          <w:highlight w:val="white"/>
        </w:rPr>
      </w:pPr>
    </w:p>
    <w:p w:rsidR="00A92BE9" w:rsidRPr="004D6EEF" w:rsidRDefault="00A92BE9" w:rsidP="00C7658D">
      <w:pPr>
        <w:tabs>
          <w:tab w:val="left" w:pos="4678"/>
          <w:tab w:val="left" w:pos="5103"/>
        </w:tabs>
        <w:spacing w:after="0" w:line="240" w:lineRule="auto"/>
        <w:rPr>
          <w:rFonts w:ascii="Arial" w:eastAsia="Century Gothic" w:hAnsi="Arial" w:cs="Arial"/>
          <w:b/>
          <w:highlight w:val="white"/>
        </w:rPr>
      </w:pPr>
    </w:p>
    <w:p w:rsidR="005F412B" w:rsidRPr="004D6EEF" w:rsidRDefault="005F412B" w:rsidP="00C7658D">
      <w:pPr>
        <w:tabs>
          <w:tab w:val="left" w:pos="4678"/>
          <w:tab w:val="left" w:pos="5103"/>
        </w:tabs>
        <w:spacing w:after="0" w:line="240" w:lineRule="auto"/>
        <w:rPr>
          <w:rFonts w:ascii="Arial" w:eastAsia="Century Gothic" w:hAnsi="Arial" w:cs="Arial"/>
          <w:b/>
          <w:highlight w:val="white"/>
        </w:rPr>
      </w:pPr>
    </w:p>
    <w:p w:rsidR="00647FD0" w:rsidRPr="004D6EEF" w:rsidRDefault="00647FD0" w:rsidP="00C7658D">
      <w:pPr>
        <w:tabs>
          <w:tab w:val="left" w:pos="4678"/>
          <w:tab w:val="left" w:pos="5103"/>
        </w:tabs>
        <w:spacing w:after="0" w:line="240" w:lineRule="auto"/>
        <w:rPr>
          <w:rFonts w:ascii="Arial" w:eastAsia="Century Gothic" w:hAnsi="Arial" w:cs="Arial"/>
          <w:b/>
          <w:highlight w:val="white"/>
        </w:rPr>
      </w:pPr>
    </w:p>
    <w:p w:rsidR="00C7658D" w:rsidRPr="004D6EEF" w:rsidRDefault="004C0D31" w:rsidP="00C7658D">
      <w:pPr>
        <w:tabs>
          <w:tab w:val="left" w:pos="4678"/>
          <w:tab w:val="left" w:pos="5103"/>
        </w:tabs>
        <w:spacing w:after="0" w:line="240" w:lineRule="auto"/>
        <w:rPr>
          <w:rFonts w:ascii="Arial" w:eastAsia="Century Gothic" w:hAnsi="Arial" w:cs="Arial"/>
          <w:b/>
          <w:highlight w:val="white"/>
        </w:rPr>
      </w:pPr>
      <w:r w:rsidRPr="004D6EEF">
        <w:rPr>
          <w:rFonts w:ascii="Arial" w:eastAsia="Century Gothic" w:hAnsi="Arial" w:cs="Arial"/>
          <w:b/>
          <w:highlight w:val="white"/>
        </w:rPr>
        <w:t>RUTH A. CAICEDO</w:t>
      </w:r>
      <w:r w:rsidR="007C57E2" w:rsidRPr="004D6EEF">
        <w:rPr>
          <w:rFonts w:ascii="Arial" w:eastAsia="Century Gothic" w:hAnsi="Arial" w:cs="Arial"/>
          <w:b/>
          <w:highlight w:val="white"/>
        </w:rPr>
        <w:t xml:space="preserve"> </w:t>
      </w:r>
      <w:r w:rsidRPr="004D6EEF">
        <w:rPr>
          <w:rFonts w:ascii="Arial" w:eastAsia="Century Gothic" w:hAnsi="Arial" w:cs="Arial"/>
          <w:b/>
          <w:highlight w:val="white"/>
        </w:rPr>
        <w:t xml:space="preserve">ROSERO </w:t>
      </w:r>
      <w:r w:rsidR="007C57E2" w:rsidRPr="004D6EEF">
        <w:rPr>
          <w:rFonts w:ascii="Arial" w:eastAsia="Century Gothic" w:hAnsi="Arial" w:cs="Arial"/>
          <w:b/>
          <w:highlight w:val="white"/>
        </w:rPr>
        <w:t xml:space="preserve">               </w:t>
      </w:r>
      <w:r w:rsidR="00C51574" w:rsidRPr="004D6EEF">
        <w:rPr>
          <w:rFonts w:ascii="Arial" w:eastAsia="Century Gothic" w:hAnsi="Arial" w:cs="Arial"/>
          <w:b/>
          <w:highlight w:val="white"/>
        </w:rPr>
        <w:t xml:space="preserve">   </w:t>
      </w:r>
      <w:r w:rsidR="00677333" w:rsidRPr="004D6EEF">
        <w:rPr>
          <w:rFonts w:ascii="Arial" w:eastAsia="Century Gothic" w:hAnsi="Arial" w:cs="Arial"/>
          <w:b/>
          <w:highlight w:val="white"/>
        </w:rPr>
        <w:t xml:space="preserve">          </w:t>
      </w:r>
      <w:r w:rsidRPr="004D6EEF">
        <w:rPr>
          <w:rFonts w:ascii="Arial" w:eastAsia="Century Gothic" w:hAnsi="Arial" w:cs="Arial"/>
          <w:b/>
          <w:highlight w:val="white"/>
        </w:rPr>
        <w:t xml:space="preserve"> ANA PAOLA GARCÍA SOTO</w:t>
      </w:r>
    </w:p>
    <w:p w:rsidR="004C0D31" w:rsidRPr="004D6EEF" w:rsidRDefault="00A92BE9" w:rsidP="004C0D31">
      <w:pPr>
        <w:tabs>
          <w:tab w:val="left" w:pos="4678"/>
          <w:tab w:val="left" w:pos="5103"/>
        </w:tabs>
        <w:spacing w:after="0" w:line="240" w:lineRule="auto"/>
        <w:rPr>
          <w:rFonts w:ascii="Arial" w:eastAsia="Century Gothic" w:hAnsi="Arial" w:cs="Arial"/>
          <w:highlight w:val="white"/>
        </w:rPr>
      </w:pPr>
      <w:r w:rsidRPr="004D6EEF">
        <w:rPr>
          <w:rFonts w:ascii="Arial" w:eastAsia="Century Gothic" w:hAnsi="Arial" w:cs="Arial"/>
          <w:highlight w:val="white"/>
        </w:rPr>
        <w:t xml:space="preserve">Ponente </w:t>
      </w:r>
      <w:r w:rsidR="007C57E2" w:rsidRPr="004D6EEF">
        <w:rPr>
          <w:rFonts w:ascii="Arial" w:eastAsia="Century Gothic" w:hAnsi="Arial" w:cs="Arial"/>
          <w:highlight w:val="white"/>
        </w:rPr>
        <w:t xml:space="preserve">Coordinadora                           </w:t>
      </w:r>
      <w:r w:rsidR="00677333" w:rsidRPr="004D6EEF">
        <w:rPr>
          <w:rFonts w:ascii="Arial" w:eastAsia="Century Gothic" w:hAnsi="Arial" w:cs="Arial"/>
          <w:highlight w:val="white"/>
        </w:rPr>
        <w:t xml:space="preserve">     </w:t>
      </w:r>
      <w:r w:rsidR="004C0D31" w:rsidRPr="004D6EEF">
        <w:rPr>
          <w:rFonts w:ascii="Arial" w:eastAsia="Century Gothic" w:hAnsi="Arial" w:cs="Arial"/>
          <w:highlight w:val="white"/>
        </w:rPr>
        <w:t xml:space="preserve">           Presidenta</w:t>
      </w:r>
    </w:p>
    <w:p w:rsidR="004C0D31" w:rsidRDefault="004C0D31" w:rsidP="004C0D31">
      <w:pPr>
        <w:tabs>
          <w:tab w:val="left" w:pos="4678"/>
          <w:tab w:val="left" w:pos="5103"/>
        </w:tabs>
        <w:spacing w:after="0" w:line="240" w:lineRule="auto"/>
        <w:rPr>
          <w:rFonts w:ascii="Arial" w:eastAsia="Century Gothic" w:hAnsi="Arial" w:cs="Arial"/>
          <w:highlight w:val="white"/>
        </w:rPr>
      </w:pPr>
    </w:p>
    <w:p w:rsidR="004D6EEF" w:rsidRPr="004D6EEF" w:rsidRDefault="004D6EEF" w:rsidP="004C0D31">
      <w:pPr>
        <w:tabs>
          <w:tab w:val="left" w:pos="4678"/>
          <w:tab w:val="left" w:pos="5103"/>
        </w:tabs>
        <w:spacing w:after="0" w:line="240" w:lineRule="auto"/>
        <w:rPr>
          <w:rFonts w:ascii="Arial" w:eastAsia="Century Gothic" w:hAnsi="Arial" w:cs="Arial"/>
          <w:highlight w:val="white"/>
        </w:rPr>
      </w:pPr>
    </w:p>
    <w:p w:rsidR="004C0D31" w:rsidRPr="004D6EEF" w:rsidRDefault="004C0D31" w:rsidP="004C0D31">
      <w:pPr>
        <w:tabs>
          <w:tab w:val="left" w:pos="4678"/>
          <w:tab w:val="left" w:pos="5103"/>
        </w:tabs>
        <w:spacing w:after="0" w:line="240" w:lineRule="auto"/>
        <w:rPr>
          <w:rFonts w:ascii="Arial" w:eastAsia="Century Gothic" w:hAnsi="Arial" w:cs="Arial"/>
          <w:highlight w:val="white"/>
        </w:rPr>
      </w:pPr>
    </w:p>
    <w:p w:rsidR="004C0D31" w:rsidRPr="004D6EEF" w:rsidRDefault="004C0D31" w:rsidP="00A92BE9">
      <w:pPr>
        <w:tabs>
          <w:tab w:val="left" w:pos="4678"/>
          <w:tab w:val="left" w:pos="5103"/>
        </w:tabs>
        <w:spacing w:after="0" w:line="240" w:lineRule="auto"/>
        <w:rPr>
          <w:rFonts w:ascii="Arial" w:eastAsia="Century Gothic" w:hAnsi="Arial" w:cs="Arial"/>
          <w:b/>
        </w:rPr>
      </w:pPr>
      <w:r w:rsidRPr="004D6EEF">
        <w:rPr>
          <w:rFonts w:ascii="Arial" w:eastAsia="Century Gothic" w:hAnsi="Arial" w:cs="Arial"/>
          <w:highlight w:val="white"/>
        </w:rPr>
        <w:t xml:space="preserve">                                        </w:t>
      </w:r>
      <w:r w:rsidRPr="004D6EEF">
        <w:rPr>
          <w:rFonts w:ascii="Arial" w:eastAsia="Century Gothic" w:hAnsi="Arial" w:cs="Arial"/>
          <w:b/>
          <w:highlight w:val="white"/>
        </w:rPr>
        <w:t>AMPARO Y. CALDERÓN PERDOMO</w:t>
      </w:r>
    </w:p>
    <w:p w:rsidR="00647FD0" w:rsidRPr="004D6EEF" w:rsidRDefault="004C0D31" w:rsidP="00A92BE9">
      <w:pPr>
        <w:tabs>
          <w:tab w:val="left" w:pos="4678"/>
          <w:tab w:val="left" w:pos="5103"/>
        </w:tabs>
        <w:spacing w:after="0" w:line="240" w:lineRule="auto"/>
        <w:rPr>
          <w:rFonts w:ascii="Arial" w:eastAsia="Century Gothic" w:hAnsi="Arial" w:cs="Arial"/>
          <w:b/>
          <w:highlight w:val="white"/>
        </w:rPr>
      </w:pPr>
      <w:r w:rsidRPr="004D6EEF">
        <w:rPr>
          <w:rFonts w:ascii="Arial" w:eastAsia="Century Gothic" w:hAnsi="Arial" w:cs="Arial"/>
          <w:b/>
        </w:rPr>
        <w:t xml:space="preserve">                                                             </w:t>
      </w:r>
      <w:r w:rsidR="005A22D8" w:rsidRPr="004D6EEF">
        <w:rPr>
          <w:rFonts w:ascii="Arial" w:eastAsia="Century Gothic" w:hAnsi="Arial" w:cs="Arial"/>
        </w:rPr>
        <w:t>Secretaria</w:t>
      </w:r>
      <w:r w:rsidR="005A22D8" w:rsidRPr="004D6EEF">
        <w:rPr>
          <w:rFonts w:ascii="Arial" w:eastAsia="Century Gothic" w:hAnsi="Arial" w:cs="Arial"/>
        </w:rPr>
        <w:tab/>
      </w:r>
    </w:p>
    <w:p w:rsidR="005F412B" w:rsidRPr="004D6EEF" w:rsidRDefault="005F412B" w:rsidP="00A92BE9">
      <w:pPr>
        <w:tabs>
          <w:tab w:val="left" w:pos="4678"/>
          <w:tab w:val="left" w:pos="5103"/>
        </w:tabs>
        <w:spacing w:after="0" w:line="240" w:lineRule="auto"/>
        <w:rPr>
          <w:rFonts w:ascii="Arial" w:eastAsia="Century Gothic" w:hAnsi="Arial" w:cs="Arial"/>
        </w:rPr>
      </w:pPr>
    </w:p>
    <w:p w:rsidR="00A92BE9" w:rsidRPr="004D6EEF" w:rsidRDefault="00A92BE9" w:rsidP="00A92BE9">
      <w:pPr>
        <w:tabs>
          <w:tab w:val="left" w:pos="4678"/>
          <w:tab w:val="left" w:pos="5103"/>
        </w:tabs>
        <w:spacing w:after="0" w:line="240" w:lineRule="auto"/>
        <w:rPr>
          <w:rFonts w:ascii="Arial" w:eastAsia="Century Gothic" w:hAnsi="Arial" w:cs="Arial"/>
        </w:rPr>
      </w:pPr>
    </w:p>
    <w:p w:rsidR="008C485F" w:rsidRPr="004D6EEF" w:rsidRDefault="007042B0" w:rsidP="00A92BE9">
      <w:pPr>
        <w:tabs>
          <w:tab w:val="left" w:pos="4678"/>
          <w:tab w:val="left" w:pos="5103"/>
        </w:tabs>
        <w:spacing w:after="0" w:line="240" w:lineRule="auto"/>
        <w:rPr>
          <w:rFonts w:ascii="Arial" w:eastAsia="Arial Narrow" w:hAnsi="Arial" w:cs="Arial"/>
          <w:color w:val="000000"/>
        </w:rPr>
      </w:pPr>
      <w:r w:rsidRPr="004D6EEF">
        <w:rPr>
          <w:rFonts w:ascii="Arial" w:eastAsia="Century Gothic" w:hAnsi="Arial" w:cs="Arial"/>
          <w:b/>
        </w:rPr>
        <w:t xml:space="preserve">  </w:t>
      </w:r>
      <w:r w:rsidR="007C57E2" w:rsidRPr="004D6EEF">
        <w:rPr>
          <w:rFonts w:ascii="Arial" w:eastAsia="Century Gothic" w:hAnsi="Arial" w:cs="Arial"/>
          <w:b/>
        </w:rPr>
        <w:t xml:space="preserve">                        </w:t>
      </w:r>
      <w:r w:rsidRPr="004D6EEF">
        <w:rPr>
          <w:rFonts w:ascii="Arial" w:eastAsia="Century Gothic" w:hAnsi="Arial" w:cs="Arial"/>
          <w:b/>
        </w:rPr>
        <w:t xml:space="preserve"> </w:t>
      </w:r>
      <w:r w:rsidR="00677333" w:rsidRPr="004D6EEF">
        <w:rPr>
          <w:rFonts w:ascii="Arial" w:eastAsia="Century Gothic" w:hAnsi="Arial" w:cs="Arial"/>
          <w:b/>
        </w:rPr>
        <w:t xml:space="preserve">            </w:t>
      </w:r>
      <w:r w:rsidR="007C57E2" w:rsidRPr="004D6EEF">
        <w:rPr>
          <w:rFonts w:ascii="Arial" w:eastAsia="Century Gothic" w:hAnsi="Arial" w:cs="Arial"/>
          <w:highlight w:val="white"/>
        </w:rPr>
        <w:t xml:space="preserve">                       </w:t>
      </w:r>
      <w:r w:rsidRPr="004D6EEF">
        <w:rPr>
          <w:rFonts w:ascii="Arial" w:eastAsia="Century Gothic" w:hAnsi="Arial" w:cs="Arial"/>
          <w:highlight w:val="white"/>
        </w:rPr>
        <w:t xml:space="preserve">                             </w:t>
      </w:r>
      <w:r w:rsidR="00677333" w:rsidRPr="004D6EEF">
        <w:rPr>
          <w:rFonts w:ascii="Arial" w:eastAsia="Century Gothic" w:hAnsi="Arial" w:cs="Arial"/>
          <w:highlight w:val="white"/>
        </w:rPr>
        <w:t xml:space="preserve">                </w:t>
      </w:r>
    </w:p>
    <w:sectPr w:rsidR="008C485F" w:rsidRPr="004D6EEF"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A3" w:rsidRDefault="003F0CA3" w:rsidP="002B77F9">
      <w:pPr>
        <w:spacing w:after="0" w:line="240" w:lineRule="auto"/>
      </w:pPr>
      <w:r>
        <w:separator/>
      </w:r>
    </w:p>
  </w:endnote>
  <w:endnote w:type="continuationSeparator" w:id="0">
    <w:p w:rsidR="003F0CA3" w:rsidRDefault="003F0CA3"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AE64EC" w:rsidRPr="00F31B05" w:rsidRDefault="00AE64EC"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AE64EC" w:rsidRPr="00CA7BFC" w:rsidRDefault="00AE64EC"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AE64EC" w:rsidRDefault="00AE64EC"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A3" w:rsidRDefault="003F0CA3" w:rsidP="002B77F9">
      <w:pPr>
        <w:spacing w:after="0" w:line="240" w:lineRule="auto"/>
      </w:pPr>
      <w:r>
        <w:separator/>
      </w:r>
    </w:p>
  </w:footnote>
  <w:footnote w:type="continuationSeparator" w:id="0">
    <w:p w:rsidR="003F0CA3" w:rsidRDefault="003F0CA3"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EC" w:rsidRDefault="003F0CA3" w:rsidP="00C72FDB">
    <w:pPr>
      <w:pStyle w:val="Encabezado"/>
      <w:jc w:val="center"/>
    </w:pPr>
    <w:sdt>
      <w:sdtPr>
        <w:id w:val="1036773030"/>
        <w:docPartObj>
          <w:docPartGallery w:val="Page Numbers (Margins)"/>
          <w:docPartUnique/>
        </w:docPartObj>
      </w:sdtPr>
      <w:sdtEndPr/>
      <w:sdtContent>
        <w:r w:rsidR="00AE64EC">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4EC" w:rsidRDefault="00AE64EC">
                              <w:pPr>
                                <w:pBdr>
                                  <w:bottom w:val="single" w:sz="4" w:space="1" w:color="auto"/>
                                </w:pBdr>
                              </w:pPr>
                              <w:r>
                                <w:fldChar w:fldCharType="begin"/>
                              </w:r>
                              <w:r>
                                <w:instrText>PAGE   \* MERGEFORMAT</w:instrText>
                              </w:r>
                              <w:r>
                                <w:fldChar w:fldCharType="separate"/>
                              </w:r>
                              <w:r w:rsidR="002F2A14" w:rsidRPr="002F2A14">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AE64EC" w:rsidRDefault="00AE64EC">
                        <w:pPr>
                          <w:pBdr>
                            <w:bottom w:val="single" w:sz="4" w:space="1" w:color="auto"/>
                          </w:pBdr>
                        </w:pPr>
                        <w:r>
                          <w:fldChar w:fldCharType="begin"/>
                        </w:r>
                        <w:r>
                          <w:instrText>PAGE   \* MERGEFORMAT</w:instrText>
                        </w:r>
                        <w:r>
                          <w:fldChar w:fldCharType="separate"/>
                        </w:r>
                        <w:r w:rsidR="002F2A14" w:rsidRPr="002F2A14">
                          <w:rPr>
                            <w:noProof/>
                            <w:lang w:val="es-ES"/>
                          </w:rPr>
                          <w:t>3</w:t>
                        </w:r>
                        <w:r>
                          <w:fldChar w:fldCharType="end"/>
                        </w:r>
                      </w:p>
                    </w:txbxContent>
                  </v:textbox>
                  <w10:wrap anchorx="margin" anchory="margin"/>
                </v:rect>
              </w:pict>
            </mc:Fallback>
          </mc:AlternateContent>
        </w:r>
      </w:sdtContent>
    </w:sdt>
    <w:r w:rsidR="00AE64EC">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AE64EC" w:rsidRDefault="00AE6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21BA4"/>
    <w:multiLevelType w:val="multilevel"/>
    <w:tmpl w:val="34D8C2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2"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0"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6" w15:restartNumberingAfterBreak="0">
    <w:nsid w:val="65D724B4"/>
    <w:multiLevelType w:val="hybridMultilevel"/>
    <w:tmpl w:val="CDFA6D24"/>
    <w:lvl w:ilvl="0" w:tplc="DDD4C51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8"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9"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0"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4"/>
  </w:num>
  <w:num w:numId="3">
    <w:abstractNumId w:val="20"/>
  </w:num>
  <w:num w:numId="4">
    <w:abstractNumId w:val="2"/>
  </w:num>
  <w:num w:numId="5">
    <w:abstractNumId w:val="3"/>
  </w:num>
  <w:num w:numId="6">
    <w:abstractNumId w:val="13"/>
  </w:num>
  <w:num w:numId="7">
    <w:abstractNumId w:val="0"/>
  </w:num>
  <w:num w:numId="8">
    <w:abstractNumId w:val="28"/>
  </w:num>
  <w:num w:numId="9">
    <w:abstractNumId w:val="15"/>
  </w:num>
  <w:num w:numId="10">
    <w:abstractNumId w:val="24"/>
  </w:num>
  <w:num w:numId="11">
    <w:abstractNumId w:val="42"/>
  </w:num>
  <w:num w:numId="12">
    <w:abstractNumId w:val="32"/>
  </w:num>
  <w:num w:numId="13">
    <w:abstractNumId w:val="41"/>
  </w:num>
  <w:num w:numId="14">
    <w:abstractNumId w:val="30"/>
  </w:num>
  <w:num w:numId="15">
    <w:abstractNumId w:val="27"/>
  </w:num>
  <w:num w:numId="16">
    <w:abstractNumId w:val="35"/>
  </w:num>
  <w:num w:numId="17">
    <w:abstractNumId w:val="26"/>
  </w:num>
  <w:num w:numId="18">
    <w:abstractNumId w:val="5"/>
  </w:num>
  <w:num w:numId="19">
    <w:abstractNumId w:val="6"/>
  </w:num>
  <w:num w:numId="20">
    <w:abstractNumId w:val="38"/>
  </w:num>
  <w:num w:numId="21">
    <w:abstractNumId w:val="33"/>
  </w:num>
  <w:num w:numId="22">
    <w:abstractNumId w:val="31"/>
  </w:num>
  <w:num w:numId="23">
    <w:abstractNumId w:val="25"/>
  </w:num>
  <w:num w:numId="24">
    <w:abstractNumId w:val="40"/>
  </w:num>
  <w:num w:numId="25">
    <w:abstractNumId w:val="19"/>
  </w:num>
  <w:num w:numId="26">
    <w:abstractNumId w:val="34"/>
  </w:num>
  <w:num w:numId="27">
    <w:abstractNumId w:val="12"/>
  </w:num>
  <w:num w:numId="28">
    <w:abstractNumId w:val="39"/>
  </w:num>
  <w:num w:numId="29">
    <w:abstractNumId w:val="16"/>
  </w:num>
  <w:num w:numId="30">
    <w:abstractNumId w:val="21"/>
  </w:num>
  <w:num w:numId="31">
    <w:abstractNumId w:val="23"/>
  </w:num>
  <w:num w:numId="32">
    <w:abstractNumId w:val="9"/>
  </w:num>
  <w:num w:numId="33">
    <w:abstractNumId w:val="37"/>
  </w:num>
  <w:num w:numId="34">
    <w:abstractNumId w:val="17"/>
  </w:num>
  <w:num w:numId="35">
    <w:abstractNumId w:val="7"/>
  </w:num>
  <w:num w:numId="36">
    <w:abstractNumId w:val="8"/>
  </w:num>
  <w:num w:numId="37">
    <w:abstractNumId w:val="4"/>
  </w:num>
  <w:num w:numId="38">
    <w:abstractNumId w:val="22"/>
  </w:num>
  <w:num w:numId="39">
    <w:abstractNumId w:val="29"/>
  </w:num>
  <w:num w:numId="40">
    <w:abstractNumId w:val="18"/>
  </w:num>
  <w:num w:numId="41">
    <w:abstractNumId w:val="10"/>
  </w:num>
  <w:num w:numId="42">
    <w:abstractNumId w:val="3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B2703"/>
    <w:rsid w:val="000B431C"/>
    <w:rsid w:val="000B4D84"/>
    <w:rsid w:val="000B7306"/>
    <w:rsid w:val="001066C3"/>
    <w:rsid w:val="00130B13"/>
    <w:rsid w:val="00130C64"/>
    <w:rsid w:val="00133C16"/>
    <w:rsid w:val="00154066"/>
    <w:rsid w:val="00164B4F"/>
    <w:rsid w:val="00187F26"/>
    <w:rsid w:val="0019687F"/>
    <w:rsid w:val="001A730E"/>
    <w:rsid w:val="001B1713"/>
    <w:rsid w:val="001B59F5"/>
    <w:rsid w:val="001B5DC1"/>
    <w:rsid w:val="001C02DA"/>
    <w:rsid w:val="001D46E7"/>
    <w:rsid w:val="001D7CDA"/>
    <w:rsid w:val="001E5470"/>
    <w:rsid w:val="001F1108"/>
    <w:rsid w:val="001F2372"/>
    <w:rsid w:val="001F2C00"/>
    <w:rsid w:val="001F4B8D"/>
    <w:rsid w:val="00205249"/>
    <w:rsid w:val="00210E09"/>
    <w:rsid w:val="002165D6"/>
    <w:rsid w:val="002227A1"/>
    <w:rsid w:val="0023152C"/>
    <w:rsid w:val="00234747"/>
    <w:rsid w:val="00234FE5"/>
    <w:rsid w:val="002502B4"/>
    <w:rsid w:val="0025197F"/>
    <w:rsid w:val="00255D5C"/>
    <w:rsid w:val="00260D6F"/>
    <w:rsid w:val="002743DF"/>
    <w:rsid w:val="00286D4E"/>
    <w:rsid w:val="002A00E2"/>
    <w:rsid w:val="002A29A3"/>
    <w:rsid w:val="002A3EA0"/>
    <w:rsid w:val="002B541B"/>
    <w:rsid w:val="002B6AF6"/>
    <w:rsid w:val="002B77F9"/>
    <w:rsid w:val="002D1D2E"/>
    <w:rsid w:val="002D7DBF"/>
    <w:rsid w:val="002E25CA"/>
    <w:rsid w:val="002F02B3"/>
    <w:rsid w:val="002F2A14"/>
    <w:rsid w:val="002F539C"/>
    <w:rsid w:val="00303D5A"/>
    <w:rsid w:val="00311769"/>
    <w:rsid w:val="00321326"/>
    <w:rsid w:val="00323601"/>
    <w:rsid w:val="00335045"/>
    <w:rsid w:val="00342B29"/>
    <w:rsid w:val="00355892"/>
    <w:rsid w:val="003604D0"/>
    <w:rsid w:val="003760F5"/>
    <w:rsid w:val="00376F05"/>
    <w:rsid w:val="003830E9"/>
    <w:rsid w:val="00384FE4"/>
    <w:rsid w:val="003873C2"/>
    <w:rsid w:val="00387BD8"/>
    <w:rsid w:val="00393CA3"/>
    <w:rsid w:val="00394EAC"/>
    <w:rsid w:val="003961DF"/>
    <w:rsid w:val="003B0401"/>
    <w:rsid w:val="003B544C"/>
    <w:rsid w:val="003C4239"/>
    <w:rsid w:val="003F0CA3"/>
    <w:rsid w:val="003F126E"/>
    <w:rsid w:val="003F4911"/>
    <w:rsid w:val="003F5C5D"/>
    <w:rsid w:val="003F7B98"/>
    <w:rsid w:val="003F7F52"/>
    <w:rsid w:val="00413118"/>
    <w:rsid w:val="00415052"/>
    <w:rsid w:val="00420B8D"/>
    <w:rsid w:val="0043525D"/>
    <w:rsid w:val="00436F33"/>
    <w:rsid w:val="00443168"/>
    <w:rsid w:val="004453D9"/>
    <w:rsid w:val="004457EB"/>
    <w:rsid w:val="00463B62"/>
    <w:rsid w:val="00464F20"/>
    <w:rsid w:val="00464F6C"/>
    <w:rsid w:val="004730CF"/>
    <w:rsid w:val="00485F9F"/>
    <w:rsid w:val="00487B58"/>
    <w:rsid w:val="0049097B"/>
    <w:rsid w:val="004A5453"/>
    <w:rsid w:val="004A788F"/>
    <w:rsid w:val="004C0174"/>
    <w:rsid w:val="004C05B3"/>
    <w:rsid w:val="004C0D31"/>
    <w:rsid w:val="004C367F"/>
    <w:rsid w:val="004C57E9"/>
    <w:rsid w:val="004C5D69"/>
    <w:rsid w:val="004D4AE0"/>
    <w:rsid w:val="004D6EEF"/>
    <w:rsid w:val="004D759E"/>
    <w:rsid w:val="004E0ECA"/>
    <w:rsid w:val="005056F4"/>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2D8"/>
    <w:rsid w:val="005A2CA1"/>
    <w:rsid w:val="005B41D2"/>
    <w:rsid w:val="005B4CE4"/>
    <w:rsid w:val="005C604F"/>
    <w:rsid w:val="005D4583"/>
    <w:rsid w:val="005D4CF6"/>
    <w:rsid w:val="005E17D9"/>
    <w:rsid w:val="005F412B"/>
    <w:rsid w:val="00615662"/>
    <w:rsid w:val="006156D8"/>
    <w:rsid w:val="00617D5F"/>
    <w:rsid w:val="006263B1"/>
    <w:rsid w:val="006466D3"/>
    <w:rsid w:val="00647FD0"/>
    <w:rsid w:val="00651F09"/>
    <w:rsid w:val="00657E26"/>
    <w:rsid w:val="006729F8"/>
    <w:rsid w:val="00673CBF"/>
    <w:rsid w:val="00674257"/>
    <w:rsid w:val="00677333"/>
    <w:rsid w:val="006842AA"/>
    <w:rsid w:val="00685C7B"/>
    <w:rsid w:val="00692D9C"/>
    <w:rsid w:val="006A040C"/>
    <w:rsid w:val="006A2114"/>
    <w:rsid w:val="006A31E0"/>
    <w:rsid w:val="006A433F"/>
    <w:rsid w:val="006A6080"/>
    <w:rsid w:val="006C2025"/>
    <w:rsid w:val="006C370B"/>
    <w:rsid w:val="006E2C22"/>
    <w:rsid w:val="006E3F60"/>
    <w:rsid w:val="006E4320"/>
    <w:rsid w:val="006F5535"/>
    <w:rsid w:val="007032B8"/>
    <w:rsid w:val="007042B0"/>
    <w:rsid w:val="007118F9"/>
    <w:rsid w:val="007373F0"/>
    <w:rsid w:val="00740FC1"/>
    <w:rsid w:val="00741F4B"/>
    <w:rsid w:val="007523F7"/>
    <w:rsid w:val="00752442"/>
    <w:rsid w:val="00752CA5"/>
    <w:rsid w:val="00762CE9"/>
    <w:rsid w:val="00767102"/>
    <w:rsid w:val="00770A1E"/>
    <w:rsid w:val="00771926"/>
    <w:rsid w:val="00784634"/>
    <w:rsid w:val="00791199"/>
    <w:rsid w:val="00797788"/>
    <w:rsid w:val="007A27BF"/>
    <w:rsid w:val="007A64EA"/>
    <w:rsid w:val="007B04B8"/>
    <w:rsid w:val="007C1176"/>
    <w:rsid w:val="007C2835"/>
    <w:rsid w:val="007C57E2"/>
    <w:rsid w:val="007C791A"/>
    <w:rsid w:val="007D2B23"/>
    <w:rsid w:val="007F02A1"/>
    <w:rsid w:val="0080000F"/>
    <w:rsid w:val="0081409F"/>
    <w:rsid w:val="00820746"/>
    <w:rsid w:val="00820AC5"/>
    <w:rsid w:val="008214EF"/>
    <w:rsid w:val="0083563E"/>
    <w:rsid w:val="008356FB"/>
    <w:rsid w:val="00836D1A"/>
    <w:rsid w:val="0084068F"/>
    <w:rsid w:val="00864666"/>
    <w:rsid w:val="00864E81"/>
    <w:rsid w:val="00890E7E"/>
    <w:rsid w:val="008948A9"/>
    <w:rsid w:val="008C0270"/>
    <w:rsid w:val="008C485F"/>
    <w:rsid w:val="008C4F3D"/>
    <w:rsid w:val="008C5463"/>
    <w:rsid w:val="008C5C63"/>
    <w:rsid w:val="008D5251"/>
    <w:rsid w:val="008D78C3"/>
    <w:rsid w:val="008F3182"/>
    <w:rsid w:val="008F48EF"/>
    <w:rsid w:val="0090281F"/>
    <w:rsid w:val="00911D10"/>
    <w:rsid w:val="009175B2"/>
    <w:rsid w:val="009230CE"/>
    <w:rsid w:val="00923E69"/>
    <w:rsid w:val="00930B4E"/>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B53F3"/>
    <w:rsid w:val="009B67AC"/>
    <w:rsid w:val="009C12A5"/>
    <w:rsid w:val="009F327E"/>
    <w:rsid w:val="009F5598"/>
    <w:rsid w:val="00A22D16"/>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B469B"/>
    <w:rsid w:val="00AD3B2D"/>
    <w:rsid w:val="00AE64EC"/>
    <w:rsid w:val="00AE692D"/>
    <w:rsid w:val="00AF36DE"/>
    <w:rsid w:val="00AF7024"/>
    <w:rsid w:val="00AF764F"/>
    <w:rsid w:val="00B01CAB"/>
    <w:rsid w:val="00B1158E"/>
    <w:rsid w:val="00B1541C"/>
    <w:rsid w:val="00B17EFD"/>
    <w:rsid w:val="00B445A7"/>
    <w:rsid w:val="00B45F28"/>
    <w:rsid w:val="00B50033"/>
    <w:rsid w:val="00B60DFC"/>
    <w:rsid w:val="00B74BE7"/>
    <w:rsid w:val="00B75780"/>
    <w:rsid w:val="00B92F56"/>
    <w:rsid w:val="00B93DD4"/>
    <w:rsid w:val="00BB4B50"/>
    <w:rsid w:val="00BB52F2"/>
    <w:rsid w:val="00BB72C3"/>
    <w:rsid w:val="00BC30DE"/>
    <w:rsid w:val="00BC47DE"/>
    <w:rsid w:val="00BD4141"/>
    <w:rsid w:val="00BD5A9F"/>
    <w:rsid w:val="00BE29E0"/>
    <w:rsid w:val="00C0765C"/>
    <w:rsid w:val="00C14E17"/>
    <w:rsid w:val="00C27B20"/>
    <w:rsid w:val="00C32B00"/>
    <w:rsid w:val="00C41881"/>
    <w:rsid w:val="00C421C4"/>
    <w:rsid w:val="00C51574"/>
    <w:rsid w:val="00C5586A"/>
    <w:rsid w:val="00C6177D"/>
    <w:rsid w:val="00C72FDB"/>
    <w:rsid w:val="00C7392E"/>
    <w:rsid w:val="00C74091"/>
    <w:rsid w:val="00C74871"/>
    <w:rsid w:val="00C749AB"/>
    <w:rsid w:val="00C7658D"/>
    <w:rsid w:val="00C81DC9"/>
    <w:rsid w:val="00C90D70"/>
    <w:rsid w:val="00C91D4B"/>
    <w:rsid w:val="00CA1400"/>
    <w:rsid w:val="00CA7F13"/>
    <w:rsid w:val="00CB53B1"/>
    <w:rsid w:val="00CC62CD"/>
    <w:rsid w:val="00CD6BA1"/>
    <w:rsid w:val="00CE3E80"/>
    <w:rsid w:val="00CF0F36"/>
    <w:rsid w:val="00CF4523"/>
    <w:rsid w:val="00CF6F6C"/>
    <w:rsid w:val="00D012A0"/>
    <w:rsid w:val="00D06595"/>
    <w:rsid w:val="00D25E1A"/>
    <w:rsid w:val="00D33DBE"/>
    <w:rsid w:val="00D365ED"/>
    <w:rsid w:val="00D42340"/>
    <w:rsid w:val="00D64FC5"/>
    <w:rsid w:val="00D70D5A"/>
    <w:rsid w:val="00D85690"/>
    <w:rsid w:val="00D870FD"/>
    <w:rsid w:val="00D87E48"/>
    <w:rsid w:val="00D911EB"/>
    <w:rsid w:val="00DA4DD0"/>
    <w:rsid w:val="00DB22F4"/>
    <w:rsid w:val="00DB30E5"/>
    <w:rsid w:val="00DB4E51"/>
    <w:rsid w:val="00DB6485"/>
    <w:rsid w:val="00DC15B5"/>
    <w:rsid w:val="00DC757E"/>
    <w:rsid w:val="00DD54E9"/>
    <w:rsid w:val="00DD5E90"/>
    <w:rsid w:val="00DE1E0A"/>
    <w:rsid w:val="00DE5B04"/>
    <w:rsid w:val="00DF01CA"/>
    <w:rsid w:val="00DF1873"/>
    <w:rsid w:val="00DF3798"/>
    <w:rsid w:val="00DF48FD"/>
    <w:rsid w:val="00DF514E"/>
    <w:rsid w:val="00E00980"/>
    <w:rsid w:val="00E05A72"/>
    <w:rsid w:val="00E0796D"/>
    <w:rsid w:val="00E20DB4"/>
    <w:rsid w:val="00E2117A"/>
    <w:rsid w:val="00E21A9D"/>
    <w:rsid w:val="00E31547"/>
    <w:rsid w:val="00E35FD6"/>
    <w:rsid w:val="00E45EC6"/>
    <w:rsid w:val="00E50203"/>
    <w:rsid w:val="00E56423"/>
    <w:rsid w:val="00E61EC5"/>
    <w:rsid w:val="00E66A69"/>
    <w:rsid w:val="00E7734E"/>
    <w:rsid w:val="00E81991"/>
    <w:rsid w:val="00E846BD"/>
    <w:rsid w:val="00E90D44"/>
    <w:rsid w:val="00EA0B67"/>
    <w:rsid w:val="00EB15E9"/>
    <w:rsid w:val="00EB61BC"/>
    <w:rsid w:val="00ED1DD7"/>
    <w:rsid w:val="00F003FA"/>
    <w:rsid w:val="00F076AA"/>
    <w:rsid w:val="00F1201D"/>
    <w:rsid w:val="00F13684"/>
    <w:rsid w:val="00F20DA4"/>
    <w:rsid w:val="00F22E0C"/>
    <w:rsid w:val="00F27207"/>
    <w:rsid w:val="00F3400C"/>
    <w:rsid w:val="00F418EE"/>
    <w:rsid w:val="00F43BBF"/>
    <w:rsid w:val="00F54808"/>
    <w:rsid w:val="00F5565A"/>
    <w:rsid w:val="00F641BD"/>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0055"/>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41E4-A84F-4B58-A59B-E5539D04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5</cp:revision>
  <cp:lastPrinted>2025-04-01T21:50:00Z</cp:lastPrinted>
  <dcterms:created xsi:type="dcterms:W3CDTF">2025-06-16T17:16:00Z</dcterms:created>
  <dcterms:modified xsi:type="dcterms:W3CDTF">2025-06-16T17:26:00Z</dcterms:modified>
</cp:coreProperties>
</file>